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61837" w14:textId="51E0B31C" w:rsidR="003C7830" w:rsidRPr="008262BE" w:rsidRDefault="009F57E1">
      <w:pPr>
        <w:pStyle w:val="Standard"/>
        <w:spacing w:line="276" w:lineRule="auto"/>
        <w:rPr>
          <w:b/>
          <w:i/>
        </w:rPr>
      </w:pPr>
      <w:r>
        <w:rPr>
          <w:rFonts w:eastAsia="Calibri" w:cs="Liberation Serif"/>
          <w:color w:val="000000"/>
          <w:lang w:eastAsia="en-GB"/>
        </w:rPr>
        <w:t xml:space="preserve">BAAL </w:t>
      </w:r>
      <w:proofErr w:type="gramStart"/>
      <w:r w:rsidRPr="0002750D">
        <w:rPr>
          <w:rFonts w:eastAsia="Calibri" w:cs="Liberation Serif"/>
          <w:color w:val="000000"/>
          <w:lang w:eastAsia="en-GB"/>
        </w:rPr>
        <w:t xml:space="preserve">REPORT  </w:t>
      </w:r>
      <w:r w:rsidR="00094D48" w:rsidRPr="0002750D">
        <w:rPr>
          <w:rFonts w:eastAsia="Calibri" w:cs="Liberation Serif"/>
          <w:b/>
          <w:i/>
          <w:color w:val="000000"/>
          <w:lang w:eastAsia="en-GB"/>
        </w:rPr>
        <w:t>Primary</w:t>
      </w:r>
      <w:proofErr w:type="gramEnd"/>
      <w:r w:rsidR="00094D48" w:rsidRPr="0002750D">
        <w:rPr>
          <w:rFonts w:eastAsia="Calibri" w:cs="Liberation Serif"/>
          <w:b/>
          <w:i/>
          <w:color w:val="000000"/>
          <w:lang w:eastAsia="en-GB"/>
        </w:rPr>
        <w:t xml:space="preserve"> Languages Policy in England</w:t>
      </w:r>
    </w:p>
    <w:p w14:paraId="5E7BF0B6" w14:textId="3444237F" w:rsidR="003C7830" w:rsidRDefault="003C7830">
      <w:pPr>
        <w:pStyle w:val="Standard"/>
        <w:spacing w:line="276" w:lineRule="auto"/>
      </w:pPr>
    </w:p>
    <w:p w14:paraId="35128F50" w14:textId="79B4D30A" w:rsidR="0002750D" w:rsidRDefault="0002750D">
      <w:pPr>
        <w:pStyle w:val="Standard"/>
        <w:spacing w:line="276" w:lineRule="auto"/>
        <w:rPr>
          <w:lang w:val="fr-FR"/>
        </w:rPr>
      </w:pPr>
      <w:r w:rsidRPr="0002750D">
        <w:rPr>
          <w:lang w:val="fr-FR"/>
        </w:rPr>
        <w:t>Florence Myles, Angela Tellier, A</w:t>
      </w:r>
      <w:r>
        <w:rPr>
          <w:lang w:val="fr-FR"/>
        </w:rPr>
        <w:t>lison Porter, Bernardette Holmes and Victoria Murphy</w:t>
      </w:r>
    </w:p>
    <w:p w14:paraId="2911202B" w14:textId="77777777" w:rsidR="0002750D" w:rsidRPr="0002750D" w:rsidRDefault="0002750D">
      <w:pPr>
        <w:pStyle w:val="Standard"/>
        <w:spacing w:line="276" w:lineRule="auto"/>
        <w:rPr>
          <w:lang w:val="fr-FR"/>
        </w:rPr>
      </w:pPr>
    </w:p>
    <w:p w14:paraId="53CE6430" w14:textId="5586553E" w:rsidR="003C7830" w:rsidRDefault="009F57E1">
      <w:pPr>
        <w:pStyle w:val="Standard"/>
        <w:spacing w:line="276" w:lineRule="auto"/>
      </w:pPr>
      <w:r>
        <w:rPr>
          <w:rFonts w:eastAsia="Calibri" w:cs="Liberation Serif"/>
          <w:color w:val="000000"/>
          <w:lang w:eastAsia="en-GB"/>
        </w:rPr>
        <w:t>Thanks to an award from the BAAL Applied Linguistics Support Fund, the Research in Primary Languages Network  (</w:t>
      </w:r>
      <w:proofErr w:type="spellStart"/>
      <w:r>
        <w:rPr>
          <w:rFonts w:eastAsia="Calibri" w:cs="Liberation Serif"/>
          <w:color w:val="000000"/>
          <w:lang w:eastAsia="en-GB"/>
        </w:rPr>
        <w:t>RiPL</w:t>
      </w:r>
      <w:proofErr w:type="spellEnd"/>
      <w:r w:rsidR="00094D48">
        <w:rPr>
          <w:rFonts w:eastAsia="Calibri" w:cs="Liberation Serif"/>
          <w:color w:val="000000"/>
          <w:lang w:eastAsia="en-GB"/>
        </w:rPr>
        <w:t xml:space="preserve"> </w:t>
      </w:r>
      <w:hyperlink r:id="rId9" w:history="1">
        <w:r w:rsidR="00094D48" w:rsidRPr="00DE59CE">
          <w:rPr>
            <w:rStyle w:val="Hyperlink"/>
            <w:rFonts w:eastAsia="Calibri" w:cs="Liberation Serif"/>
            <w:lang w:eastAsia="en-GB"/>
          </w:rPr>
          <w:t>www.ripl.uk</w:t>
        </w:r>
      </w:hyperlink>
      <w:r>
        <w:rPr>
          <w:rFonts w:eastAsia="Calibri" w:cs="Liberation Serif"/>
          <w:color w:val="000000"/>
          <w:lang w:eastAsia="en-GB"/>
        </w:rPr>
        <w:t>) convened a Policy Summit at the British Academy on 23</w:t>
      </w:r>
      <w:r>
        <w:rPr>
          <w:rFonts w:eastAsia="Calibri" w:cs="Liberation Serif"/>
          <w:color w:val="000000"/>
          <w:vertAlign w:val="superscript"/>
          <w:lang w:eastAsia="en-GB"/>
        </w:rPr>
        <w:t>rd</w:t>
      </w:r>
      <w:r>
        <w:rPr>
          <w:rFonts w:eastAsia="Calibri" w:cs="Liberation Serif"/>
          <w:color w:val="000000"/>
          <w:lang w:eastAsia="en-GB"/>
        </w:rPr>
        <w:t xml:space="preserve"> November 2018</w:t>
      </w:r>
      <w:r w:rsidR="00094D48">
        <w:rPr>
          <w:rFonts w:eastAsia="Calibri" w:cs="Liberation Serif"/>
          <w:color w:val="000000"/>
          <w:lang w:eastAsia="en-GB"/>
        </w:rPr>
        <w:t xml:space="preserve">. </w:t>
      </w:r>
      <w:r w:rsidR="00AE2FEE">
        <w:rPr>
          <w:rFonts w:eastAsia="Calibri" w:cs="Liberation Serif"/>
          <w:color w:val="000000"/>
          <w:lang w:eastAsia="en-GB"/>
        </w:rPr>
        <w:t xml:space="preserve">Its </w:t>
      </w:r>
      <w:r w:rsidR="00094D48">
        <w:rPr>
          <w:rFonts w:eastAsia="Calibri" w:cs="Liberation Serif"/>
          <w:color w:val="000000"/>
          <w:lang w:eastAsia="en-GB"/>
        </w:rPr>
        <w:t>purpose was to bring together key stakeholders</w:t>
      </w:r>
      <w:r>
        <w:rPr>
          <w:rFonts w:eastAsia="Calibri" w:cs="Liberation Serif"/>
          <w:color w:val="000000"/>
          <w:lang w:eastAsia="en-GB"/>
        </w:rPr>
        <w:t xml:space="preserve"> to </w:t>
      </w:r>
      <w:r w:rsidR="00094D48">
        <w:rPr>
          <w:rFonts w:eastAsia="Calibri" w:cs="Liberation Serif"/>
          <w:color w:val="000000"/>
          <w:lang w:eastAsia="en-GB"/>
        </w:rPr>
        <w:t xml:space="preserve">evaluate </w:t>
      </w:r>
      <w:r>
        <w:rPr>
          <w:rFonts w:eastAsia="Calibri" w:cs="Liberation Serif"/>
          <w:color w:val="000000"/>
          <w:lang w:eastAsia="en-GB"/>
        </w:rPr>
        <w:t xml:space="preserve">the implementation of the </w:t>
      </w:r>
      <w:r w:rsidR="00094D48">
        <w:rPr>
          <w:rFonts w:eastAsia="Calibri" w:cs="Liberation Serif"/>
          <w:color w:val="000000"/>
          <w:lang w:eastAsia="en-GB"/>
        </w:rPr>
        <w:t xml:space="preserve">2014 </w:t>
      </w:r>
      <w:r>
        <w:rPr>
          <w:rFonts w:eastAsia="Calibri" w:cs="Liberation Serif"/>
          <w:color w:val="000000"/>
          <w:lang w:eastAsia="en-GB"/>
        </w:rPr>
        <w:t xml:space="preserve">statutory requirement to teach a foreign language </w:t>
      </w:r>
      <w:r w:rsidR="00AE2FEE">
        <w:rPr>
          <w:rFonts w:eastAsia="Calibri" w:cs="Liberation Serif"/>
          <w:color w:val="000000"/>
          <w:lang w:eastAsia="en-GB"/>
        </w:rPr>
        <w:t xml:space="preserve">(FL) </w:t>
      </w:r>
      <w:r>
        <w:rPr>
          <w:rFonts w:eastAsia="Calibri" w:cs="Liberation Serif"/>
          <w:color w:val="000000"/>
          <w:lang w:eastAsia="en-GB"/>
        </w:rPr>
        <w:t>in primary schools in England</w:t>
      </w:r>
      <w:r w:rsidR="00AE2FEE">
        <w:rPr>
          <w:rFonts w:eastAsia="Calibri" w:cs="Liberation Serif"/>
          <w:color w:val="000000"/>
          <w:lang w:eastAsia="en-GB"/>
        </w:rPr>
        <w:t xml:space="preserve"> and to share priorities for future development</w:t>
      </w:r>
      <w:r>
        <w:rPr>
          <w:rFonts w:eastAsia="Calibri" w:cs="Liberation Serif"/>
          <w:color w:val="000000"/>
          <w:lang w:eastAsia="en-GB"/>
        </w:rPr>
        <w:t>.</w:t>
      </w:r>
      <w:r w:rsidR="00635E64" w:rsidRPr="00635E64">
        <w:rPr>
          <w:rFonts w:eastAsia="Calibri" w:cs="Liberation Serif"/>
          <w:color w:val="000000"/>
          <w:lang w:eastAsia="en-GB"/>
        </w:rPr>
        <w:t xml:space="preserve"> </w:t>
      </w:r>
      <w:r w:rsidR="00635E64">
        <w:rPr>
          <w:rFonts w:eastAsia="Calibri" w:cs="Liberation Serif"/>
          <w:color w:val="000000"/>
          <w:lang w:eastAsia="en-GB"/>
        </w:rPr>
        <w:t>The Summit brought together invited representatives from a wide range of stakeholders</w:t>
      </w:r>
      <w:r w:rsidR="00635E64">
        <w:rPr>
          <w:rStyle w:val="FootnoteReference"/>
          <w:rFonts w:eastAsia="Calibri" w:cs="Liberation Serif"/>
          <w:color w:val="000000"/>
          <w:lang w:eastAsia="en-GB"/>
        </w:rPr>
        <w:footnoteReference w:id="1"/>
      </w:r>
      <w:r w:rsidR="00635E64">
        <w:rPr>
          <w:rFonts w:eastAsia="Calibri" w:cs="Liberation Serif"/>
          <w:color w:val="000000"/>
          <w:lang w:eastAsia="en-GB"/>
        </w:rPr>
        <w:t>, including policy makers,</w:t>
      </w:r>
      <w:r w:rsidR="00635E64">
        <w:rPr>
          <w:rFonts w:eastAsia="DengXian" w:cs="Calibri Light"/>
          <w:color w:val="000000"/>
          <w:lang w:eastAsia="en-GB"/>
        </w:rPr>
        <w:t xml:space="preserve"> </w:t>
      </w:r>
      <w:r w:rsidR="00635E64">
        <w:rPr>
          <w:rFonts w:eastAsia="Calibri" w:cs="Liberation Serif"/>
          <w:color w:val="000000"/>
          <w:lang w:eastAsia="en-GB"/>
        </w:rPr>
        <w:t>practitioners and academics, and took place according to the Chatham House Rule. Briefing papers were circulated in advance.</w:t>
      </w:r>
    </w:p>
    <w:p w14:paraId="2FE658C2" w14:textId="1D81110E" w:rsidR="003C7830" w:rsidRDefault="003C7830">
      <w:pPr>
        <w:pStyle w:val="Standard"/>
        <w:spacing w:line="276" w:lineRule="auto"/>
      </w:pPr>
    </w:p>
    <w:p w14:paraId="7B77FE47" w14:textId="30FBA53A" w:rsidR="00635E64" w:rsidRDefault="00635E64">
      <w:pPr>
        <w:pStyle w:val="Standard"/>
        <w:spacing w:line="276" w:lineRule="auto"/>
      </w:pPr>
      <w:r>
        <w:t>The Policy Summit took place at a time-critic</w:t>
      </w:r>
      <w:bookmarkStart w:id="0" w:name="_GoBack"/>
      <w:bookmarkEnd w:id="0"/>
      <w:r>
        <w:t xml:space="preserve">al juncture when the first cohort of primary school children to have studied a foreign language from age 7 made the transition to secondary school. </w:t>
      </w:r>
    </w:p>
    <w:p w14:paraId="7CB24E58" w14:textId="5EDB4285" w:rsidR="003C7830" w:rsidRDefault="00105DFC">
      <w:pPr>
        <w:pStyle w:val="Standard"/>
        <w:spacing w:line="276" w:lineRule="auto"/>
        <w:rPr>
          <w:rFonts w:eastAsia="Calibri" w:cs="Liberation Serif"/>
          <w:color w:val="000000"/>
          <w:lang w:eastAsia="en-GB"/>
        </w:rPr>
      </w:pPr>
      <w:r>
        <w:rPr>
          <w:rFonts w:eastAsia="Calibri" w:cs="Liberation Serif"/>
          <w:color w:val="000000"/>
          <w:lang w:eastAsia="en-GB"/>
        </w:rPr>
        <w:t>During t</w:t>
      </w:r>
      <w:r w:rsidR="009F57E1">
        <w:rPr>
          <w:rFonts w:eastAsia="Calibri" w:cs="Liberation Serif"/>
          <w:color w:val="000000"/>
          <w:lang w:eastAsia="en-GB"/>
        </w:rPr>
        <w:t>he first part</w:t>
      </w:r>
      <w:r w:rsidR="002C0DDD">
        <w:rPr>
          <w:rFonts w:eastAsia="Calibri" w:cs="Liberation Serif"/>
          <w:color w:val="000000"/>
          <w:lang w:eastAsia="en-GB"/>
        </w:rPr>
        <w:t xml:space="preserve"> of the day</w:t>
      </w:r>
      <w:r>
        <w:rPr>
          <w:rFonts w:eastAsia="Calibri" w:cs="Liberation Serif"/>
          <w:color w:val="000000"/>
          <w:lang w:eastAsia="en-GB"/>
        </w:rPr>
        <w:t>, contributors presented</w:t>
      </w:r>
      <w:r w:rsidR="009F57E1">
        <w:rPr>
          <w:rFonts w:eastAsia="Calibri" w:cs="Liberation Serif"/>
          <w:color w:val="000000"/>
          <w:lang w:eastAsia="en-GB"/>
        </w:rPr>
        <w:t xml:space="preserve"> short </w:t>
      </w:r>
      <w:r w:rsidR="002C0DDD">
        <w:rPr>
          <w:rFonts w:eastAsia="Calibri" w:cs="Liberation Serif"/>
          <w:color w:val="000000"/>
          <w:lang w:eastAsia="en-GB"/>
        </w:rPr>
        <w:t xml:space="preserve">evidence-based </w:t>
      </w:r>
      <w:r w:rsidR="009F57E1">
        <w:rPr>
          <w:rFonts w:eastAsia="Calibri" w:cs="Liberation Serif"/>
          <w:color w:val="000000"/>
          <w:lang w:eastAsia="en-GB"/>
        </w:rPr>
        <w:t xml:space="preserve">position papers </w:t>
      </w:r>
      <w:r w:rsidR="002C0DDD">
        <w:rPr>
          <w:rFonts w:eastAsia="Calibri" w:cs="Liberation Serif"/>
          <w:color w:val="000000"/>
          <w:lang w:eastAsia="en-GB"/>
        </w:rPr>
        <w:t>on</w:t>
      </w:r>
      <w:r w:rsidR="009F57E1">
        <w:rPr>
          <w:rFonts w:eastAsia="Calibri" w:cs="Liberation Serif"/>
          <w:color w:val="000000"/>
          <w:lang w:eastAsia="en-GB"/>
        </w:rPr>
        <w:t xml:space="preserve"> current practice and provision, current research, inspection findings, national statistics and survey returns to identify the enabling and disabling factors currently affecting the implementation of curriculum reform in primary schools.</w:t>
      </w:r>
    </w:p>
    <w:p w14:paraId="5F74778F" w14:textId="77777777" w:rsidR="003C7830" w:rsidRDefault="003C7830">
      <w:pPr>
        <w:pStyle w:val="Standard"/>
        <w:spacing w:line="276" w:lineRule="auto"/>
        <w:rPr>
          <w:rFonts w:eastAsia="Calibri" w:cs="Liberation Serif"/>
          <w:color w:val="000000"/>
          <w:lang w:eastAsia="en-GB"/>
        </w:rPr>
      </w:pPr>
    </w:p>
    <w:p w14:paraId="121B90E1" w14:textId="58DFDA31" w:rsidR="003C7830" w:rsidRDefault="009F57E1">
      <w:pPr>
        <w:pStyle w:val="Standard"/>
        <w:spacing w:line="276" w:lineRule="auto"/>
        <w:rPr>
          <w:rFonts w:eastAsia="Calibri" w:cs="Liberation Serif"/>
          <w:color w:val="000000"/>
          <w:lang w:eastAsia="en-GB"/>
        </w:rPr>
      </w:pPr>
      <w:r>
        <w:rPr>
          <w:rFonts w:eastAsia="Calibri" w:cs="Liberation Serif"/>
          <w:color w:val="000000"/>
          <w:lang w:eastAsia="en-GB"/>
        </w:rPr>
        <w:t>Presentations were grouped into three panels</w:t>
      </w:r>
      <w:r w:rsidR="002C0DDD">
        <w:rPr>
          <w:rFonts w:eastAsia="Calibri" w:cs="Liberation Serif"/>
          <w:color w:val="000000"/>
          <w:lang w:eastAsia="en-GB"/>
        </w:rPr>
        <w:t xml:space="preserve"> which explored </w:t>
      </w:r>
      <w:r w:rsidR="002C0DDD" w:rsidRPr="002C0DDD">
        <w:rPr>
          <w:rFonts w:eastAsia="Calibri" w:cs="Liberation Serif"/>
          <w:iCs/>
          <w:color w:val="000000"/>
          <w:lang w:eastAsia="en-GB"/>
        </w:rPr>
        <w:t>i) policy and younger language learning ii) implementation challenges and solutions and iii) school-based explorations of provision and practice.</w:t>
      </w:r>
      <w:r>
        <w:rPr>
          <w:rFonts w:eastAsia="Calibri" w:cs="Liberation Serif"/>
          <w:color w:val="000000"/>
          <w:lang w:eastAsia="en-GB"/>
        </w:rPr>
        <w:t xml:space="preserve"> </w:t>
      </w:r>
      <w:r w:rsidR="00E71BA8" w:rsidRPr="00E71BA8">
        <w:rPr>
          <w:rFonts w:eastAsia="Calibri" w:cs="Liberation Serif"/>
          <w:color w:val="000000"/>
          <w:lang w:eastAsia="en-GB"/>
        </w:rPr>
        <w:t xml:space="preserve">Discussions focused on primary </w:t>
      </w:r>
      <w:r w:rsidR="002C0DDD">
        <w:rPr>
          <w:rFonts w:eastAsia="Calibri" w:cs="Liberation Serif"/>
          <w:color w:val="000000"/>
          <w:lang w:eastAsia="en-GB"/>
        </w:rPr>
        <w:t>teaching and learning research</w:t>
      </w:r>
      <w:r w:rsidR="00E71BA8" w:rsidRPr="00E71BA8">
        <w:rPr>
          <w:rFonts w:eastAsia="Calibri" w:cs="Liberation Serif"/>
          <w:color w:val="000000"/>
          <w:lang w:eastAsia="en-GB"/>
        </w:rPr>
        <w:t>; inspection evidence; curriculum planning across primary/secondary; transition; professional development; expectations; monitoring and assessment</w:t>
      </w:r>
      <w:r w:rsidR="002C0DDD">
        <w:rPr>
          <w:rFonts w:eastAsia="Calibri" w:cs="Liberation Serif"/>
          <w:color w:val="000000"/>
          <w:lang w:eastAsia="en-GB"/>
        </w:rPr>
        <w:t>; practitioner experience</w:t>
      </w:r>
      <w:r w:rsidR="00E71BA8" w:rsidRPr="00E71BA8">
        <w:rPr>
          <w:rFonts w:eastAsia="Calibri" w:cs="Liberation Serif"/>
          <w:color w:val="000000"/>
          <w:lang w:eastAsia="en-GB"/>
        </w:rPr>
        <w:t xml:space="preserve">. </w:t>
      </w:r>
    </w:p>
    <w:p w14:paraId="4691B8BE" w14:textId="77777777" w:rsidR="003C7830" w:rsidRDefault="003C7830">
      <w:pPr>
        <w:pStyle w:val="Standard"/>
        <w:spacing w:line="276" w:lineRule="auto"/>
        <w:rPr>
          <w:rFonts w:eastAsia="Calibri" w:cs="Liberation Serif"/>
          <w:color w:val="000000"/>
          <w:lang w:eastAsia="en-GB"/>
        </w:rPr>
      </w:pPr>
    </w:p>
    <w:p w14:paraId="66313B11" w14:textId="2525FEB3" w:rsidR="00951CDF" w:rsidRPr="00951CDF" w:rsidRDefault="00951CDF" w:rsidP="00951CDF">
      <w:pPr>
        <w:pStyle w:val="Standard"/>
        <w:spacing w:line="276" w:lineRule="auto"/>
        <w:rPr>
          <w:rFonts w:eastAsia="Calibri" w:cs="Liberation Serif"/>
          <w:color w:val="000000"/>
          <w:lang w:eastAsia="en-GB"/>
        </w:rPr>
      </w:pPr>
      <w:r w:rsidRPr="00951CDF">
        <w:rPr>
          <w:rFonts w:eastAsia="Calibri" w:cs="Liberation Serif"/>
          <w:color w:val="000000"/>
          <w:lang w:eastAsia="en-GB"/>
        </w:rPr>
        <w:t xml:space="preserve">The second part was solution-focussed, and began with an overview of the day’s observations, followed by comments from an invited external panel comprising researchers, language advocates, school leadership and language consultancy. The plenary discussion addressed </w:t>
      </w:r>
      <w:r>
        <w:rPr>
          <w:rFonts w:eastAsia="Calibri" w:cs="Liberation Serif"/>
          <w:color w:val="000000"/>
          <w:lang w:eastAsia="en-GB"/>
        </w:rPr>
        <w:t>issues</w:t>
      </w:r>
      <w:r w:rsidRPr="00951CDF">
        <w:rPr>
          <w:rFonts w:eastAsia="Calibri" w:cs="Liberation Serif"/>
          <w:color w:val="000000"/>
          <w:lang w:eastAsia="en-GB"/>
        </w:rPr>
        <w:t xml:space="preserve"> from delegates submitted electronically beforehand, as well as questions from the floor. </w:t>
      </w:r>
    </w:p>
    <w:p w14:paraId="09B3F217" w14:textId="1894FB07" w:rsidR="00951CDF" w:rsidRPr="00951CDF" w:rsidRDefault="00951CDF" w:rsidP="00951CDF">
      <w:pPr>
        <w:pStyle w:val="Standard"/>
        <w:spacing w:line="276" w:lineRule="auto"/>
        <w:rPr>
          <w:rFonts w:eastAsia="Calibri" w:cs="Liberation Serif"/>
          <w:color w:val="000000"/>
          <w:lang w:eastAsia="en-GB"/>
        </w:rPr>
      </w:pPr>
      <w:r w:rsidRPr="00951CDF">
        <w:rPr>
          <w:rFonts w:eastAsia="Calibri" w:cs="Liberation Serif"/>
          <w:color w:val="000000"/>
          <w:lang w:eastAsia="en-GB"/>
        </w:rPr>
        <w:t>The summit conveners concluded by summarising key points which had arisen during the day. These formed the basis of a 24-page authoritative report ‘</w:t>
      </w:r>
      <w:r w:rsidRPr="00951CDF">
        <w:rPr>
          <w:rFonts w:eastAsia="Calibri" w:cs="Liberation Serif"/>
          <w:i/>
          <w:iCs/>
          <w:color w:val="000000"/>
          <w:lang w:eastAsia="en-GB"/>
        </w:rPr>
        <w:t>White Paper: Primary Languages Policy in England – the Way Forward</w:t>
      </w:r>
      <w:r w:rsidRPr="00951CDF">
        <w:rPr>
          <w:rFonts w:eastAsia="Calibri" w:cs="Liberation Serif"/>
          <w:color w:val="000000"/>
          <w:lang w:eastAsia="en-GB"/>
        </w:rPr>
        <w:t>’</w:t>
      </w:r>
      <w:r>
        <w:rPr>
          <w:rFonts w:eastAsia="Calibri" w:cs="Liberation Serif"/>
          <w:color w:val="000000"/>
          <w:lang w:eastAsia="en-GB"/>
        </w:rPr>
        <w:t xml:space="preserve"> </w:t>
      </w:r>
      <w:r w:rsidRPr="00951CDF">
        <w:rPr>
          <w:rFonts w:eastAsia="Calibri" w:cs="Liberation Serif"/>
          <w:color w:val="000000"/>
          <w:lang w:eastAsia="en-GB"/>
        </w:rPr>
        <w:t>reflecting the views of attendees</w:t>
      </w:r>
      <w:r>
        <w:rPr>
          <w:rFonts w:eastAsia="Calibri" w:cs="Liberation Serif"/>
          <w:color w:val="000000"/>
          <w:lang w:eastAsia="en-GB"/>
        </w:rPr>
        <w:t xml:space="preserve"> who were</w:t>
      </w:r>
      <w:r w:rsidRPr="00951CDF">
        <w:rPr>
          <w:rFonts w:eastAsia="Calibri" w:cs="Liberation Serif"/>
          <w:color w:val="000000"/>
          <w:lang w:eastAsia="en-GB"/>
        </w:rPr>
        <w:t xml:space="preserve"> invited to comment on drafts, and incorporating </w:t>
      </w:r>
      <w:r>
        <w:rPr>
          <w:rFonts w:eastAsia="Calibri" w:cs="Liberation Serif"/>
          <w:color w:val="000000"/>
          <w:lang w:eastAsia="en-GB"/>
        </w:rPr>
        <w:t>research</w:t>
      </w:r>
      <w:r w:rsidRPr="00951CDF">
        <w:rPr>
          <w:rFonts w:eastAsia="Calibri" w:cs="Liberation Serif"/>
          <w:color w:val="000000"/>
          <w:lang w:eastAsia="en-GB"/>
        </w:rPr>
        <w:t xml:space="preserve"> evidence. Published on 5 March 2019, the </w:t>
      </w:r>
      <w:r>
        <w:rPr>
          <w:rFonts w:eastAsia="Calibri" w:cs="Liberation Serif"/>
          <w:color w:val="000000"/>
          <w:lang w:eastAsia="en-GB"/>
        </w:rPr>
        <w:t xml:space="preserve">White </w:t>
      </w:r>
      <w:r w:rsidRPr="00951CDF">
        <w:rPr>
          <w:rFonts w:eastAsia="Calibri" w:cs="Liberation Serif"/>
          <w:color w:val="000000"/>
          <w:lang w:eastAsia="en-GB"/>
        </w:rPr>
        <w:t xml:space="preserve">Paper </w:t>
      </w:r>
      <w:r>
        <w:rPr>
          <w:rFonts w:eastAsia="Calibri" w:cs="Liberation Serif"/>
          <w:color w:val="000000"/>
          <w:lang w:eastAsia="en-GB"/>
        </w:rPr>
        <w:t>describes the current national context</w:t>
      </w:r>
      <w:r w:rsidRPr="00951CDF">
        <w:rPr>
          <w:rFonts w:eastAsia="Calibri" w:cs="Liberation Serif"/>
          <w:color w:val="000000"/>
          <w:lang w:eastAsia="en-GB"/>
        </w:rPr>
        <w:t xml:space="preserve">: </w:t>
      </w:r>
    </w:p>
    <w:p w14:paraId="575B19F2" w14:textId="72EE2DE2"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 xml:space="preserve">“The principal problems in schools relate to time allocation, teacher subject knowledge </w:t>
      </w:r>
      <w:r w:rsidRPr="00951CDF">
        <w:rPr>
          <w:rFonts w:eastAsia="Calibri" w:cs="Liberation Serif"/>
          <w:color w:val="000000"/>
          <w:lang w:eastAsia="en-GB"/>
        </w:rPr>
        <w:tab/>
        <w:t xml:space="preserve">and language proficiency, limited access to professional development and a lack of shared and agreed understanding of pupil progress at the point of transfer from primary to secondary </w:t>
      </w:r>
      <w:r w:rsidRPr="00951CDF">
        <w:rPr>
          <w:rFonts w:eastAsia="Calibri" w:cs="Liberation Serif"/>
          <w:color w:val="000000"/>
          <w:lang w:eastAsia="en-GB"/>
        </w:rPr>
        <w:lastRenderedPageBreak/>
        <w:t xml:space="preserve">schools. Given the central importance of subject knowledge to good teaching, the variability of initial teacher training in subject knowledge development is a cause of concern. The current infrequency of Ofsted inspection of </w:t>
      </w:r>
      <w:r w:rsidRPr="00951CDF">
        <w:rPr>
          <w:rFonts w:eastAsia="Calibri" w:cs="Liberation Serif"/>
          <w:color w:val="000000"/>
          <w:lang w:eastAsia="en-GB"/>
        </w:rPr>
        <w:tab/>
        <w:t>primary languages is a further cause of concern.” (p. 9).</w:t>
      </w:r>
    </w:p>
    <w:p w14:paraId="4711135A" w14:textId="4B15517D" w:rsidR="00951CDF" w:rsidRPr="00951CDF" w:rsidRDefault="00951CDF" w:rsidP="00951CDF">
      <w:pPr>
        <w:pStyle w:val="Standard"/>
        <w:spacing w:after="160" w:line="276" w:lineRule="auto"/>
        <w:rPr>
          <w:rFonts w:eastAsia="Calibri" w:cs="Liberation Serif"/>
          <w:color w:val="000000"/>
          <w:lang w:eastAsia="en-GB"/>
        </w:rPr>
      </w:pPr>
      <w:r>
        <w:rPr>
          <w:rFonts w:eastAsia="Calibri" w:cs="Liberation Serif"/>
          <w:color w:val="000000"/>
          <w:lang w:eastAsia="en-GB"/>
        </w:rPr>
        <w:t xml:space="preserve">Lessons from research </w:t>
      </w:r>
      <w:r w:rsidR="00B71661">
        <w:rPr>
          <w:rFonts w:eastAsia="Calibri" w:cs="Liberation Serif"/>
          <w:color w:val="000000"/>
          <w:lang w:eastAsia="en-GB"/>
        </w:rPr>
        <w:t>into primary language learning and implications for practice were then summarised</w:t>
      </w:r>
      <w:r w:rsidRPr="00951CDF">
        <w:rPr>
          <w:rFonts w:eastAsia="Calibri" w:cs="Liberation Serif"/>
          <w:color w:val="000000"/>
          <w:lang w:eastAsia="en-GB"/>
        </w:rPr>
        <w:t xml:space="preserve">: </w:t>
      </w:r>
    </w:p>
    <w:p w14:paraId="70FC8167" w14:textId="3C8AC1EC"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 xml:space="preserve">i. During much of middle childhood children learn mostly implicitly and need rich and plentiful input for learning to take place: </w:t>
      </w:r>
      <w:r w:rsidR="00D523BA">
        <w:rPr>
          <w:rFonts w:eastAsia="Calibri" w:cs="Liberation Serif"/>
          <w:color w:val="000000"/>
          <w:lang w:eastAsia="en-GB"/>
        </w:rPr>
        <w:t>sufficient time needs to be allocated</w:t>
      </w:r>
      <w:r w:rsidRPr="00951CDF">
        <w:rPr>
          <w:rFonts w:eastAsia="Calibri" w:cs="Liberation Serif"/>
          <w:color w:val="000000"/>
          <w:lang w:eastAsia="en-GB"/>
        </w:rPr>
        <w:t>;</w:t>
      </w:r>
    </w:p>
    <w:p w14:paraId="0E34B8B8" w14:textId="4C2D79D4"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 xml:space="preserve">ii. </w:t>
      </w:r>
      <w:r w:rsidR="00D523BA" w:rsidRPr="00D523BA">
        <w:rPr>
          <w:rFonts w:eastAsia="Calibri" w:cs="Liberation Serif"/>
          <w:color w:val="000000"/>
          <w:lang w:eastAsia="en-GB"/>
        </w:rPr>
        <w:t xml:space="preserve">Enjoyable </w:t>
      </w:r>
      <w:r w:rsidR="001808FC">
        <w:rPr>
          <w:rFonts w:eastAsia="Calibri" w:cs="Liberation Serif"/>
          <w:color w:val="000000"/>
          <w:lang w:eastAsia="en-GB"/>
        </w:rPr>
        <w:t>activities should</w:t>
      </w:r>
      <w:r w:rsidR="00D523BA" w:rsidRPr="00D523BA">
        <w:rPr>
          <w:rFonts w:eastAsia="Calibri" w:cs="Liberation Serif"/>
          <w:color w:val="000000"/>
          <w:lang w:eastAsia="en-GB"/>
        </w:rPr>
        <w:t xml:space="preserve"> capitalise on emergent learning strategies and </w:t>
      </w:r>
      <w:r w:rsidR="001808FC" w:rsidRPr="00D523BA">
        <w:rPr>
          <w:rFonts w:eastAsia="Calibri" w:cs="Liberation Serif"/>
          <w:color w:val="000000"/>
          <w:lang w:eastAsia="en-GB"/>
        </w:rPr>
        <w:t>very active cognitive development</w:t>
      </w:r>
      <w:r w:rsidR="00D523BA" w:rsidRPr="00D523BA">
        <w:rPr>
          <w:rFonts w:eastAsia="Calibri" w:cs="Liberation Serif"/>
          <w:color w:val="000000"/>
          <w:lang w:eastAsia="en-GB"/>
        </w:rPr>
        <w:t>;</w:t>
      </w:r>
    </w:p>
    <w:p w14:paraId="4D94AA62" w14:textId="325045C5"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 xml:space="preserve">iii. </w:t>
      </w:r>
      <w:r w:rsidR="00D523BA" w:rsidRPr="00D523BA">
        <w:rPr>
          <w:rFonts w:eastAsia="Calibri" w:cs="Liberation Serif"/>
          <w:color w:val="000000"/>
          <w:lang w:eastAsia="en-GB"/>
        </w:rPr>
        <w:t xml:space="preserve">Links with L1 and home languages </w:t>
      </w:r>
      <w:r w:rsidR="00D523BA">
        <w:rPr>
          <w:rFonts w:eastAsia="Calibri" w:cs="Liberation Serif"/>
          <w:color w:val="000000"/>
          <w:lang w:eastAsia="en-GB"/>
        </w:rPr>
        <w:t xml:space="preserve">for both monolingual and EAL children </w:t>
      </w:r>
      <w:r w:rsidR="00D523BA" w:rsidRPr="00D523BA">
        <w:rPr>
          <w:rFonts w:eastAsia="Calibri" w:cs="Liberation Serif"/>
          <w:color w:val="000000"/>
          <w:lang w:eastAsia="en-GB"/>
        </w:rPr>
        <w:t>should be strengthened as strong early L1 literacy skills are associated with higher FL attainment</w:t>
      </w:r>
      <w:r w:rsidRPr="00951CDF">
        <w:rPr>
          <w:rFonts w:eastAsia="Calibri" w:cs="Liberation Serif"/>
          <w:color w:val="000000"/>
          <w:lang w:eastAsia="en-GB"/>
        </w:rPr>
        <w:t>;</w:t>
      </w:r>
    </w:p>
    <w:p w14:paraId="0DFD4537" w14:textId="77777777"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iv. Progress motivates: clear planned progression is essential to boost motivation and increase uptake at KS4;</w:t>
      </w:r>
    </w:p>
    <w:p w14:paraId="001B3661" w14:textId="77777777"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v. Teaching time, teacher language proficiency, and teaching approach affect pupil progress:  access to high quality initial teacher training and continuing professional development is crucial;</w:t>
      </w:r>
    </w:p>
    <w:p w14:paraId="741F5C70" w14:textId="170CB686" w:rsidR="00951CDF" w:rsidRPr="00951CDF" w:rsidRDefault="00951CDF" w:rsidP="00951CDF">
      <w:pPr>
        <w:pStyle w:val="Standard"/>
        <w:spacing w:after="160" w:line="276" w:lineRule="auto"/>
        <w:ind w:left="709"/>
        <w:rPr>
          <w:rFonts w:eastAsia="Calibri" w:cs="Liberation Serif"/>
          <w:color w:val="000000"/>
          <w:lang w:eastAsia="en-GB"/>
        </w:rPr>
      </w:pPr>
      <w:r w:rsidRPr="00951CDF">
        <w:rPr>
          <w:rFonts w:eastAsia="Calibri" w:cs="Liberation Serif"/>
          <w:color w:val="000000"/>
          <w:lang w:eastAsia="en-GB"/>
        </w:rPr>
        <w:t xml:space="preserve">vi. </w:t>
      </w:r>
      <w:r w:rsidR="00D523BA" w:rsidRPr="00D523BA">
        <w:rPr>
          <w:rFonts w:eastAsia="Calibri" w:cs="Liberation Serif"/>
          <w:color w:val="000000"/>
          <w:lang w:eastAsia="en-GB"/>
        </w:rPr>
        <w:t>Teaching approaches should acknowledge the linguistic and cognitive skills that multilingual children bring</w:t>
      </w:r>
      <w:r w:rsidR="00D523BA">
        <w:rPr>
          <w:rFonts w:eastAsia="Calibri" w:cs="Liberation Serif"/>
          <w:color w:val="000000"/>
          <w:lang w:eastAsia="en-GB"/>
        </w:rPr>
        <w:t>,</w:t>
      </w:r>
      <w:r w:rsidR="00D523BA" w:rsidRPr="00D523BA">
        <w:rPr>
          <w:rFonts w:eastAsia="Calibri" w:cs="Liberation Serif"/>
          <w:color w:val="000000"/>
          <w:lang w:eastAsia="en-GB"/>
        </w:rPr>
        <w:t xml:space="preserve"> as the percentage of </w:t>
      </w:r>
      <w:r w:rsidR="00D523BA">
        <w:rPr>
          <w:rFonts w:eastAsia="Calibri" w:cs="Liberation Serif"/>
          <w:color w:val="000000"/>
          <w:lang w:eastAsia="en-GB"/>
        </w:rPr>
        <w:t xml:space="preserve">EAL </w:t>
      </w:r>
      <w:r w:rsidR="00D523BA" w:rsidRPr="00D523BA">
        <w:rPr>
          <w:rFonts w:eastAsia="Calibri" w:cs="Liberation Serif"/>
          <w:color w:val="000000"/>
          <w:lang w:eastAsia="en-GB"/>
        </w:rPr>
        <w:t>pupils is steadily increasing</w:t>
      </w:r>
      <w:r w:rsidRPr="00951CDF">
        <w:rPr>
          <w:rFonts w:eastAsia="Calibri" w:cs="Liberation Serif"/>
          <w:color w:val="000000"/>
          <w:lang w:eastAsia="en-GB"/>
        </w:rPr>
        <w:t>.</w:t>
      </w:r>
    </w:p>
    <w:p w14:paraId="55C09D3B" w14:textId="73B82C66" w:rsidR="00951CDF" w:rsidRPr="00951CDF" w:rsidRDefault="00951CDF" w:rsidP="00951CDF">
      <w:pPr>
        <w:pStyle w:val="Standard"/>
        <w:spacing w:line="276" w:lineRule="auto"/>
        <w:rPr>
          <w:rFonts w:eastAsia="Calibri" w:cs="Liberation Serif"/>
          <w:color w:val="000000"/>
          <w:lang w:eastAsia="en-GB"/>
        </w:rPr>
      </w:pPr>
      <w:r w:rsidRPr="00951CDF">
        <w:rPr>
          <w:rFonts w:eastAsia="Calibri" w:cs="Liberation Serif"/>
          <w:color w:val="000000"/>
          <w:lang w:eastAsia="en-GB"/>
        </w:rPr>
        <w:t>Building, therefore, on shared understandings of the current primary FL landscape, the concluding section of the White Paper presented ten recommendations towards a sustainable imp</w:t>
      </w:r>
      <w:r w:rsidR="001808FC">
        <w:rPr>
          <w:rFonts w:eastAsia="Calibri" w:cs="Liberation Serif"/>
          <w:color w:val="000000"/>
          <w:lang w:eastAsia="en-GB"/>
        </w:rPr>
        <w:t>lementation strategy</w:t>
      </w:r>
      <w:r w:rsidRPr="00951CDF">
        <w:rPr>
          <w:rFonts w:eastAsia="Calibri" w:cs="Liberation Serif"/>
          <w:color w:val="000000"/>
          <w:lang w:eastAsia="en-GB"/>
        </w:rPr>
        <w:t>:</w:t>
      </w:r>
    </w:p>
    <w:p w14:paraId="595CBDDE" w14:textId="77777777" w:rsidR="00951CDF" w:rsidRPr="00951CDF" w:rsidRDefault="00951CDF" w:rsidP="00951CDF">
      <w:pPr>
        <w:pStyle w:val="Standard"/>
        <w:spacing w:line="276" w:lineRule="auto"/>
        <w:rPr>
          <w:rFonts w:eastAsia="Calibri" w:cs="Liberation Serif"/>
          <w:color w:val="000000"/>
          <w:lang w:eastAsia="en-GB"/>
        </w:rPr>
      </w:pPr>
    </w:p>
    <w:p w14:paraId="55ECDAE5"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Time allocation</w:t>
      </w:r>
      <w:r w:rsidRPr="00951CDF">
        <w:rPr>
          <w:rFonts w:eastAsia="Calibri" w:cs="Liberation Serif"/>
          <w:color w:val="000000"/>
          <w:lang w:eastAsia="en-GB"/>
        </w:rPr>
        <w:t xml:space="preserve"> at least one hour per week, a non-statutory minimum of 140 hours over KS2;</w:t>
      </w:r>
    </w:p>
    <w:p w14:paraId="7A965695" w14:textId="36632ADE"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color w:val="000000"/>
          <w:lang w:eastAsia="en-GB"/>
        </w:rPr>
        <w:t xml:space="preserve">Government-funded </w:t>
      </w:r>
      <w:r w:rsidRPr="00951CDF">
        <w:rPr>
          <w:rFonts w:eastAsia="Calibri" w:cs="Liberation Serif"/>
          <w:b/>
          <w:color w:val="000000"/>
          <w:lang w:eastAsia="en-GB"/>
        </w:rPr>
        <w:t>professional development</w:t>
      </w:r>
      <w:r w:rsidRPr="00951CDF">
        <w:rPr>
          <w:rFonts w:eastAsia="Calibri" w:cs="Liberation Serif"/>
          <w:color w:val="000000"/>
          <w:lang w:eastAsia="en-GB"/>
        </w:rPr>
        <w:t xml:space="preserve"> for primary teachers,</w:t>
      </w:r>
      <w:r w:rsidR="001808FC">
        <w:rPr>
          <w:rFonts w:eastAsia="Calibri" w:cs="Liberation Serif"/>
          <w:color w:val="000000"/>
          <w:lang w:eastAsia="en-GB"/>
        </w:rPr>
        <w:t xml:space="preserve"> </w:t>
      </w:r>
      <w:r w:rsidRPr="00951CDF">
        <w:rPr>
          <w:rFonts w:eastAsia="Calibri" w:cs="Liberation Serif"/>
          <w:color w:val="000000"/>
          <w:lang w:eastAsia="en-GB"/>
        </w:rPr>
        <w:t>strengthening primary language subject knowledge, pedagogical understanding and language proficiency;</w:t>
      </w:r>
    </w:p>
    <w:p w14:paraId="748498B2"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Curriculum planning</w:t>
      </w:r>
      <w:r w:rsidRPr="00951CDF">
        <w:rPr>
          <w:rFonts w:eastAsia="Calibri" w:cs="Liberation Serif"/>
          <w:color w:val="000000"/>
          <w:lang w:eastAsia="en-GB"/>
        </w:rPr>
        <w:t>: non-statutory guidance on what children should know/be able to do by the end of Key Stage 2;</w:t>
      </w:r>
    </w:p>
    <w:p w14:paraId="1DE2ED8F"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Transition</w:t>
      </w:r>
      <w:r w:rsidRPr="00951CDF">
        <w:rPr>
          <w:rFonts w:eastAsia="Calibri" w:cs="Liberation Serif"/>
          <w:color w:val="000000"/>
          <w:lang w:eastAsia="en-GB"/>
        </w:rPr>
        <w:t>: strengthen primary-secondary collaboration; provide receiving schools with a clear statement of curriculum content and learner linguistic outcomes at the point of transfer;</w:t>
      </w:r>
    </w:p>
    <w:p w14:paraId="25C05B65"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Assessment and reporting</w:t>
      </w:r>
      <w:r w:rsidRPr="00951CDF">
        <w:rPr>
          <w:rFonts w:eastAsia="Calibri" w:cs="Liberation Serif"/>
          <w:color w:val="000000"/>
          <w:lang w:eastAsia="en-GB"/>
        </w:rPr>
        <w:t>: agree a nationally recognized benchmark by the age of transfer from KS2 to KS3;</w:t>
      </w:r>
    </w:p>
    <w:p w14:paraId="5F7F005D"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color w:val="000000"/>
          <w:lang w:eastAsia="en-GB"/>
        </w:rPr>
        <w:t xml:space="preserve">Develop effective use of </w:t>
      </w:r>
      <w:r w:rsidRPr="00951CDF">
        <w:rPr>
          <w:rFonts w:eastAsia="Calibri" w:cs="Liberation Serif"/>
          <w:b/>
          <w:color w:val="000000"/>
          <w:lang w:eastAsia="en-GB"/>
        </w:rPr>
        <w:t>digital technology</w:t>
      </w:r>
      <w:r w:rsidRPr="00951CDF">
        <w:rPr>
          <w:rFonts w:eastAsia="Calibri" w:cs="Liberation Serif"/>
          <w:color w:val="000000"/>
          <w:lang w:eastAsia="en-GB"/>
        </w:rPr>
        <w:t xml:space="preserve"> to support learning, training and reporting;  develop and pilot an e-folio;</w:t>
      </w:r>
    </w:p>
    <w:p w14:paraId="263DE559"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School accountability</w:t>
      </w:r>
      <w:r w:rsidRPr="00951CDF">
        <w:rPr>
          <w:rFonts w:eastAsia="Calibri" w:cs="Liberation Serif"/>
          <w:color w:val="000000"/>
          <w:lang w:eastAsia="en-GB"/>
        </w:rPr>
        <w:t>: Ofsted should include a focus on primary languages, gathering evidence of intent, implementation and impact;</w:t>
      </w:r>
    </w:p>
    <w:p w14:paraId="2F9460F3"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School leadership</w:t>
      </w:r>
      <w:r w:rsidRPr="00951CDF">
        <w:rPr>
          <w:rFonts w:eastAsia="Calibri" w:cs="Liberation Serif"/>
          <w:color w:val="000000"/>
          <w:lang w:eastAsia="en-GB"/>
        </w:rPr>
        <w:t xml:space="preserve">: Develop effective partnerships between senior leadership and governors to strengthen accountability and improve coherent and structured progression; </w:t>
      </w:r>
    </w:p>
    <w:p w14:paraId="6A58070B"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b/>
          <w:color w:val="000000"/>
          <w:lang w:eastAsia="en-GB"/>
        </w:rPr>
        <w:t>Strategic role of research</w:t>
      </w:r>
      <w:r w:rsidRPr="00951CDF">
        <w:rPr>
          <w:rFonts w:eastAsia="Calibri" w:cs="Liberation Serif"/>
          <w:color w:val="000000"/>
          <w:lang w:eastAsia="en-GB"/>
        </w:rPr>
        <w:t>: a focus on the implementation of primary languages policy in the next round of social research aims, to garner high quality evidence to further inform policy and practice;</w:t>
      </w:r>
    </w:p>
    <w:p w14:paraId="4E1316C0" w14:textId="77777777" w:rsidR="00951CDF" w:rsidRPr="00951CDF" w:rsidRDefault="00951CDF" w:rsidP="00951CDF">
      <w:pPr>
        <w:pStyle w:val="Standard"/>
        <w:numPr>
          <w:ilvl w:val="0"/>
          <w:numId w:val="6"/>
        </w:numPr>
        <w:spacing w:line="276" w:lineRule="auto"/>
        <w:rPr>
          <w:rFonts w:eastAsia="Calibri" w:cs="Liberation Serif"/>
          <w:color w:val="000000"/>
          <w:lang w:eastAsia="en-GB"/>
        </w:rPr>
      </w:pPr>
      <w:r w:rsidRPr="00951CDF">
        <w:rPr>
          <w:rFonts w:eastAsia="Calibri" w:cs="Liberation Serif"/>
          <w:color w:val="000000"/>
          <w:lang w:eastAsia="en-GB"/>
        </w:rPr>
        <w:lastRenderedPageBreak/>
        <w:t xml:space="preserve">Create a </w:t>
      </w:r>
      <w:r w:rsidRPr="00951CDF">
        <w:rPr>
          <w:rFonts w:eastAsia="Calibri" w:cs="Liberation Serif"/>
          <w:b/>
          <w:color w:val="000000"/>
          <w:lang w:eastAsia="en-GB"/>
        </w:rPr>
        <w:t>National Taskforce for Primary Languages</w:t>
      </w:r>
      <w:r w:rsidRPr="00951CDF">
        <w:rPr>
          <w:rFonts w:eastAsia="Calibri" w:cs="Liberation Serif"/>
          <w:color w:val="000000"/>
          <w:lang w:eastAsia="en-GB"/>
        </w:rPr>
        <w:t xml:space="preserve"> (NTPL) to support school-led improvement in the teaching of primary languages, future language learning at KS3 and potentially increased uptake at KS4.</w:t>
      </w:r>
    </w:p>
    <w:p w14:paraId="4DD68C71" w14:textId="77777777" w:rsidR="008B3648" w:rsidRDefault="008B3648" w:rsidP="0002750D">
      <w:pPr>
        <w:pStyle w:val="Standard"/>
        <w:spacing w:after="160" w:line="276" w:lineRule="auto"/>
        <w:rPr>
          <w:rFonts w:eastAsia="Calibri" w:cs="Liberation Serif"/>
          <w:color w:val="000000"/>
          <w:lang w:eastAsia="en-GB"/>
        </w:rPr>
      </w:pPr>
    </w:p>
    <w:p w14:paraId="6ADF0650" w14:textId="7166A85A" w:rsidR="0002750D" w:rsidRPr="0002750D" w:rsidRDefault="0002750D" w:rsidP="0002750D">
      <w:pPr>
        <w:pStyle w:val="Standard"/>
        <w:spacing w:after="160" w:line="276" w:lineRule="auto"/>
        <w:rPr>
          <w:rFonts w:eastAsia="Calibri" w:cs="Liberation Serif"/>
          <w:color w:val="000000"/>
          <w:lang w:eastAsia="en-GB"/>
        </w:rPr>
      </w:pPr>
      <w:r w:rsidRPr="0002750D">
        <w:rPr>
          <w:rFonts w:eastAsia="Calibri" w:cs="Liberation Serif"/>
          <w:color w:val="000000"/>
          <w:lang w:eastAsia="en-GB"/>
        </w:rPr>
        <w:t xml:space="preserve">Policy Summit evaluations showed that both researchers and education stakeholders valued this unique opportunity to share knowledge and develop deeper understandings of issues surrounding primary FL policy implementation.  The White Paper dissemination strategy includes press releases, and presentations throughout 2019 at practitioner and academic conferences.  Two publications are planned aimed at both national and international audiences.  The </w:t>
      </w:r>
      <w:proofErr w:type="spellStart"/>
      <w:r w:rsidRPr="0002750D">
        <w:rPr>
          <w:rFonts w:eastAsia="Calibri" w:cs="Liberation Serif"/>
          <w:color w:val="000000"/>
          <w:lang w:eastAsia="en-GB"/>
        </w:rPr>
        <w:t>RiPL</w:t>
      </w:r>
      <w:proofErr w:type="spellEnd"/>
      <w:r w:rsidRPr="0002750D">
        <w:rPr>
          <w:rFonts w:eastAsia="Calibri" w:cs="Liberation Serif"/>
          <w:color w:val="000000"/>
          <w:lang w:eastAsia="en-GB"/>
        </w:rPr>
        <w:t xml:space="preserve"> team are organising</w:t>
      </w:r>
      <w:r w:rsidR="001808FC">
        <w:rPr>
          <w:rFonts w:eastAsia="Calibri" w:cs="Liberation Serif"/>
          <w:color w:val="000000"/>
          <w:lang w:eastAsia="en-GB"/>
        </w:rPr>
        <w:t xml:space="preserve"> additional</w:t>
      </w:r>
      <w:r w:rsidRPr="0002750D">
        <w:rPr>
          <w:rFonts w:eastAsia="Calibri" w:cs="Liberation Serif"/>
          <w:color w:val="000000"/>
          <w:lang w:eastAsia="en-GB"/>
        </w:rPr>
        <w:t xml:space="preserve"> public engagement activities and impact events to support further awareness-raising of the White Paper recommendations.</w:t>
      </w:r>
    </w:p>
    <w:p w14:paraId="09021E15" w14:textId="77777777" w:rsidR="0002750D" w:rsidRPr="0002750D" w:rsidRDefault="0002750D" w:rsidP="0002750D">
      <w:pPr>
        <w:pStyle w:val="Standard"/>
        <w:spacing w:after="160" w:line="276" w:lineRule="auto"/>
        <w:rPr>
          <w:rFonts w:eastAsia="Calibri" w:cs="Liberation Serif"/>
          <w:color w:val="000000"/>
          <w:lang w:eastAsia="en-GB"/>
        </w:rPr>
      </w:pPr>
      <w:r w:rsidRPr="0002750D">
        <w:rPr>
          <w:rFonts w:eastAsia="Calibri" w:cs="Liberation Serif"/>
          <w:color w:val="000000"/>
          <w:lang w:eastAsia="en-GB"/>
        </w:rPr>
        <w:t>_______________________________________________________________________________</w:t>
      </w:r>
    </w:p>
    <w:p w14:paraId="3148B836" w14:textId="77777777" w:rsidR="0002750D" w:rsidRPr="0002750D" w:rsidRDefault="0002750D" w:rsidP="0002750D">
      <w:pPr>
        <w:pStyle w:val="Standard"/>
        <w:spacing w:after="160" w:line="276" w:lineRule="auto"/>
        <w:rPr>
          <w:rFonts w:eastAsia="Calibri" w:cs="Liberation Serif"/>
          <w:color w:val="000000"/>
          <w:lang w:eastAsia="en-GB"/>
        </w:rPr>
      </w:pPr>
    </w:p>
    <w:p w14:paraId="4DCFCC61" w14:textId="4AD8467F" w:rsidR="0002750D" w:rsidRPr="0002750D" w:rsidRDefault="0002750D" w:rsidP="0002750D">
      <w:pPr>
        <w:pStyle w:val="Standard"/>
        <w:spacing w:after="160" w:line="276" w:lineRule="auto"/>
        <w:rPr>
          <w:rFonts w:eastAsia="Calibri" w:cs="Liberation Serif"/>
          <w:color w:val="000000"/>
          <w:lang w:eastAsia="en-GB"/>
        </w:rPr>
      </w:pPr>
      <w:r w:rsidRPr="0002750D">
        <w:rPr>
          <w:rFonts w:eastAsia="Calibri" w:cs="Liberation Serif"/>
          <w:color w:val="000000"/>
          <w:lang w:eastAsia="en-GB"/>
        </w:rPr>
        <w:t xml:space="preserve">The White Paper is available at:  </w:t>
      </w:r>
      <w:hyperlink r:id="rId10" w:history="1">
        <w:r w:rsidRPr="00AF1A70">
          <w:rPr>
            <w:rStyle w:val="Hyperlink"/>
            <w:rFonts w:eastAsia="Calibri" w:cs="Liberation Serif"/>
            <w:lang w:eastAsia="en-GB"/>
          </w:rPr>
          <w:t>http://www.ripl.uk/policy/</w:t>
        </w:r>
      </w:hyperlink>
      <w:r>
        <w:rPr>
          <w:rFonts w:eastAsia="Calibri" w:cs="Liberation Serif"/>
          <w:color w:val="000000"/>
          <w:lang w:eastAsia="en-GB"/>
        </w:rPr>
        <w:t xml:space="preserve"> </w:t>
      </w:r>
    </w:p>
    <w:p w14:paraId="37E07A22" w14:textId="2C41403C" w:rsidR="0002750D" w:rsidRPr="0002750D" w:rsidRDefault="002C08D9" w:rsidP="0002750D">
      <w:pPr>
        <w:pStyle w:val="Standard"/>
        <w:spacing w:after="160" w:line="276" w:lineRule="auto"/>
        <w:rPr>
          <w:rFonts w:eastAsia="Calibri" w:cs="Liberation Serif"/>
          <w:color w:val="000000"/>
          <w:lang w:eastAsia="en-GB"/>
        </w:rPr>
      </w:pPr>
      <w:hyperlink r:id="rId11" w:history="1">
        <w:r w:rsidR="0002750D" w:rsidRPr="00AF1A70">
          <w:rPr>
            <w:rStyle w:val="Hyperlink"/>
            <w:rFonts w:eastAsia="Calibri" w:cs="Liberation Serif"/>
            <w:lang w:eastAsia="en-GB"/>
          </w:rPr>
          <w:t>https://twitter.com/riplnetwork</w:t>
        </w:r>
      </w:hyperlink>
      <w:r w:rsidR="0002750D">
        <w:rPr>
          <w:rFonts w:eastAsia="Calibri" w:cs="Liberation Serif"/>
          <w:color w:val="000000"/>
          <w:lang w:eastAsia="en-GB"/>
        </w:rPr>
        <w:t xml:space="preserve"> </w:t>
      </w:r>
    </w:p>
    <w:p w14:paraId="732DD183" w14:textId="1A56FF3B" w:rsidR="00951CDF" w:rsidRPr="00951CDF" w:rsidRDefault="002C08D9" w:rsidP="0002750D">
      <w:pPr>
        <w:pStyle w:val="Standard"/>
        <w:spacing w:after="160" w:line="276" w:lineRule="auto"/>
        <w:rPr>
          <w:rFonts w:eastAsia="Calibri" w:cs="Liberation Serif"/>
          <w:color w:val="000000"/>
          <w:lang w:eastAsia="en-GB"/>
        </w:rPr>
      </w:pPr>
      <w:hyperlink r:id="rId12" w:history="1">
        <w:r w:rsidR="0002750D" w:rsidRPr="00AF1A70">
          <w:rPr>
            <w:rStyle w:val="Hyperlink"/>
            <w:rFonts w:eastAsia="Calibri" w:cs="Liberation Serif"/>
            <w:lang w:eastAsia="en-GB"/>
          </w:rPr>
          <w:t>https://www.facebook.com/theriplnetwork</w:t>
        </w:r>
      </w:hyperlink>
      <w:r w:rsidR="0002750D">
        <w:rPr>
          <w:rFonts w:eastAsia="Calibri" w:cs="Liberation Serif"/>
          <w:color w:val="000000"/>
          <w:lang w:eastAsia="en-GB"/>
        </w:rPr>
        <w:t xml:space="preserve"> </w:t>
      </w:r>
    </w:p>
    <w:p w14:paraId="05B7AB99" w14:textId="4D49CD30" w:rsidR="003C7830" w:rsidRDefault="003C7830" w:rsidP="00951CDF">
      <w:pPr>
        <w:pStyle w:val="Standard"/>
        <w:spacing w:after="160" w:line="276" w:lineRule="auto"/>
      </w:pPr>
    </w:p>
    <w:sectPr w:rsidR="003C783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6871A" w14:textId="77777777" w:rsidR="002C08D9" w:rsidRDefault="002C08D9">
      <w:r>
        <w:separator/>
      </w:r>
    </w:p>
  </w:endnote>
  <w:endnote w:type="continuationSeparator" w:id="0">
    <w:p w14:paraId="0AB4B786" w14:textId="77777777" w:rsidR="002C08D9" w:rsidRDefault="002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charset w:val="00"/>
    <w:family w:val="auto"/>
    <w:pitch w:val="variable"/>
  </w:font>
  <w:font w:name="Lohit Devanagari">
    <w:altName w:val="Calibri"/>
    <w:charset w:val="00"/>
    <w:family w:val="auto"/>
    <w:pitch w:val="variable"/>
  </w:font>
  <w:font w:name="Liberation Sans">
    <w:altName w:val="Arial"/>
    <w:charset w:val="01"/>
    <w:family w:val="roman"/>
    <w:pitch w:val="variable"/>
  </w:font>
  <w:font w:name="Noto Sans CJK SC Regular">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6D1C3" w14:textId="77777777" w:rsidR="002C08D9" w:rsidRDefault="002C08D9">
      <w:r>
        <w:rPr>
          <w:color w:val="000000"/>
        </w:rPr>
        <w:separator/>
      </w:r>
    </w:p>
  </w:footnote>
  <w:footnote w:type="continuationSeparator" w:id="0">
    <w:p w14:paraId="29210858" w14:textId="77777777" w:rsidR="002C08D9" w:rsidRDefault="002C08D9">
      <w:r>
        <w:continuationSeparator/>
      </w:r>
    </w:p>
  </w:footnote>
  <w:footnote w:id="1">
    <w:p w14:paraId="73927B05" w14:textId="77777777" w:rsidR="00635E64" w:rsidRDefault="00635E64" w:rsidP="00635E64">
      <w:pPr>
        <w:pStyle w:val="FootnoteText"/>
      </w:pPr>
      <w:r>
        <w:rPr>
          <w:rStyle w:val="FootnoteReference"/>
        </w:rPr>
        <w:footnoteRef/>
      </w:r>
      <w:r>
        <w:t xml:space="preserve"> </w:t>
      </w:r>
      <w:r w:rsidRPr="00105DFC">
        <w:t xml:space="preserve">All-Party Parliamentary Group on Modern Languages; Association for Language Learning; Association of School and College Leaders; British Academy; British Association for Applied Linguistics; British Council; ; Business in the Community; Confucius Institute; Department for Education; Education Endowment Fund; Education Policy Institute; Goethe </w:t>
      </w:r>
      <w:proofErr w:type="spellStart"/>
      <w:r w:rsidRPr="00105DFC">
        <w:t>Institut</w:t>
      </w:r>
      <w:proofErr w:type="spellEnd"/>
      <w:r w:rsidRPr="00105DFC">
        <w:t xml:space="preserve">; Hackney Learning Trust and the Primary Schools Network; Independent Schools’ Modern Languages Association; Harris Federation (ITE); </w:t>
      </w:r>
      <w:proofErr w:type="spellStart"/>
      <w:r w:rsidRPr="00105DFC">
        <w:t>Institut</w:t>
      </w:r>
      <w:proofErr w:type="spellEnd"/>
      <w:r w:rsidRPr="00105DFC">
        <w:t xml:space="preserve"> </w:t>
      </w:r>
      <w:proofErr w:type="spellStart"/>
      <w:r w:rsidRPr="00105DFC">
        <w:t>Français</w:t>
      </w:r>
      <w:proofErr w:type="spellEnd"/>
      <w:r w:rsidRPr="00105DFC">
        <w:t xml:space="preserve">; King’s College, London; Manchester Metropolitan University; National Resource Centre for Supplementary Education; OFSTED; </w:t>
      </w:r>
      <w:proofErr w:type="spellStart"/>
      <w:r w:rsidRPr="00105DFC">
        <w:t>Ofqual</w:t>
      </w:r>
      <w:proofErr w:type="spellEnd"/>
      <w:r w:rsidRPr="00105DFC">
        <w:t xml:space="preserve">; Our Lady of Mount Carmel R C Primary School, Tameside; </w:t>
      </w:r>
      <w:proofErr w:type="spellStart"/>
      <w:r w:rsidRPr="00105DFC">
        <w:t>Rushey</w:t>
      </w:r>
      <w:proofErr w:type="spellEnd"/>
      <w:r w:rsidRPr="00105DFC">
        <w:t xml:space="preserve"> Mead Educational Trust; Spanish Embassy Education Office; Speak to the Future; Springfield Primary School, Sale, Trafford; St Paul’s C of E Nursery &amp; Primary, Brighton; The Primary Schools Network; The TENAX Schools Trust; University of Cambridge; University of Essex; University of Oxford; University of Reading; University of Southampton.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37BE"/>
    <w:multiLevelType w:val="multilevel"/>
    <w:tmpl w:val="80C8E4D4"/>
    <w:styleLink w:val="WWNum1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7516A96"/>
    <w:multiLevelType w:val="multilevel"/>
    <w:tmpl w:val="9B42A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5D0F3D"/>
    <w:multiLevelType w:val="multilevel"/>
    <w:tmpl w:val="8450879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74D26253"/>
    <w:multiLevelType w:val="hybridMultilevel"/>
    <w:tmpl w:val="CEB82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8C9000A"/>
    <w:multiLevelType w:val="multilevel"/>
    <w:tmpl w:val="3F54DFA6"/>
    <w:styleLink w:val="WWNum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30"/>
    <w:rsid w:val="0002750D"/>
    <w:rsid w:val="00094D48"/>
    <w:rsid w:val="000F059D"/>
    <w:rsid w:val="00105DFC"/>
    <w:rsid w:val="001808FC"/>
    <w:rsid w:val="002A1E00"/>
    <w:rsid w:val="002C08D9"/>
    <w:rsid w:val="002C0DDD"/>
    <w:rsid w:val="0039312F"/>
    <w:rsid w:val="003C7830"/>
    <w:rsid w:val="003F112E"/>
    <w:rsid w:val="004375B5"/>
    <w:rsid w:val="00486ED9"/>
    <w:rsid w:val="005E6104"/>
    <w:rsid w:val="00635E64"/>
    <w:rsid w:val="00706A04"/>
    <w:rsid w:val="008262BE"/>
    <w:rsid w:val="008B3648"/>
    <w:rsid w:val="00951CDF"/>
    <w:rsid w:val="009F1FB1"/>
    <w:rsid w:val="009F57E1"/>
    <w:rsid w:val="00A96027"/>
    <w:rsid w:val="00AB654D"/>
    <w:rsid w:val="00AE2FEE"/>
    <w:rsid w:val="00B71661"/>
    <w:rsid w:val="00C42F55"/>
    <w:rsid w:val="00D523BA"/>
    <w:rsid w:val="00E71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erif CJK SC"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Regular"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pub-c-titlecontext">
    <w:name w:val="pub-c-title__context"/>
    <w:basedOn w:val="Standard"/>
    <w:pPr>
      <w:spacing w:before="280" w:after="280"/>
    </w:pPr>
    <w:rPr>
      <w:rFonts w:ascii="Times New Roman" w:eastAsia="Times New Roman" w:hAnsi="Times New Roman" w:cs="Times New Roman"/>
      <w:lang w:eastAsia="en-GB"/>
    </w:rPr>
  </w:style>
  <w:style w:type="paragraph" w:styleId="ListParagraph">
    <w:name w:val="List Paragraph"/>
    <w:basedOn w:val="Standard"/>
    <w:pPr>
      <w:spacing w:after="160"/>
      <w:ind w:left="720"/>
    </w:pPr>
  </w:style>
  <w:style w:type="character" w:customStyle="1" w:styleId="Internetlink">
    <w:name w:val="Internet link"/>
    <w:rPr>
      <w:color w:val="000080"/>
      <w:u w:val="single"/>
    </w:rPr>
  </w:style>
  <w:style w:type="character" w:customStyle="1" w:styleId="ListLabel57">
    <w:name w:val="ListLabel 57"/>
    <w:rPr>
      <w:rFonts w:ascii="Liberation Serif" w:eastAsia="Arial" w:hAnsi="Liberation Serif" w:cs="Liberation Serif"/>
      <w:color w:val="000000"/>
      <w:kern w:val="3"/>
      <w:sz w:val="24"/>
      <w:u w:val="single"/>
      <w:lang w:val="en-GB" w:eastAsia="en-GB"/>
    </w:rPr>
  </w:style>
  <w:style w:type="character" w:customStyle="1" w:styleId="ListLabel58">
    <w:name w:val="ListLabel 58"/>
    <w:rPr>
      <w:rFonts w:ascii="Liberation Serif" w:eastAsia="Arial" w:hAnsi="Liberation Serif" w:cs="Liberation Serif"/>
      <w:color w:val="000080"/>
      <w:kern w:val="3"/>
      <w:sz w:val="24"/>
      <w:u w:val="single"/>
      <w:lang w:eastAsia="en-GB"/>
    </w:rPr>
  </w:style>
  <w:style w:type="character" w:customStyle="1" w:styleId="StrongEmphasis">
    <w:name w:val="Strong Emphasis"/>
    <w:rPr>
      <w:b/>
    </w:rPr>
  </w:style>
  <w:style w:type="character" w:customStyle="1" w:styleId="ListLabel59">
    <w:name w:val="ListLabel 59"/>
    <w:rPr>
      <w:rFonts w:ascii="Liberation Serif" w:eastAsia="Arial" w:hAnsi="Liberation Serif" w:cs="Liberation Serif"/>
      <w:b w:val="0"/>
      <w:color w:val="000080"/>
      <w:kern w:val="3"/>
      <w:sz w:val="24"/>
      <w:u w:val="single"/>
    </w:rPr>
  </w:style>
  <w:style w:type="character" w:customStyle="1" w:styleId="ListLabel60">
    <w:name w:val="ListLabel 60"/>
    <w:rPr>
      <w:rFonts w:ascii="Liberation Serif" w:eastAsia="Arial" w:hAnsi="Liberation Serif" w:cs="Liberation Serif"/>
      <w:b w:val="0"/>
      <w:color w:val="000080"/>
      <w:kern w:val="3"/>
      <w:sz w:val="24"/>
      <w:u w:val="single"/>
      <w:lang w:eastAsia="en-GB"/>
    </w:rPr>
  </w:style>
  <w:style w:type="character" w:customStyle="1" w:styleId="ListLabel61">
    <w:name w:val="ListLabel 61"/>
    <w:rPr>
      <w:rFonts w:ascii="Liberation Serif" w:eastAsia="Arial" w:hAnsi="Liberation Serif" w:cs="Liberation Serif"/>
      <w:color w:val="000000"/>
      <w:kern w:val="3"/>
      <w:sz w:val="24"/>
      <w:u w:val="single"/>
      <w:lang w:val="en-GB" w:eastAsia="en-GB"/>
    </w:rPr>
  </w:style>
  <w:style w:type="character" w:customStyle="1" w:styleId="ListLabel64">
    <w:name w:val="ListLabel 64"/>
    <w:rPr>
      <w:rFonts w:ascii="Calibri Light" w:eastAsia="DengXian" w:hAnsi="Calibri Light" w:cs="Calibri Light"/>
      <w:sz w:val="24"/>
      <w:szCs w:val="24"/>
    </w:rPr>
  </w:style>
  <w:style w:type="character" w:customStyle="1" w:styleId="FootnoteSymbol">
    <w:name w:val="Footnote Symbol"/>
    <w:basedOn w:val="DefaultParagraphFont"/>
    <w:rPr>
      <w:position w:val="0"/>
      <w:vertAlign w:val="superscript"/>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Footnoteanchor">
    <w:name w:val="Footnote anchor"/>
    <w:rPr>
      <w:position w:val="0"/>
      <w:vertAlign w:val="superscript"/>
    </w:rPr>
  </w:style>
  <w:style w:type="numbering" w:customStyle="1" w:styleId="WWNum9">
    <w:name w:val="WWNum9"/>
    <w:basedOn w:val="NoList"/>
    <w:pPr>
      <w:numPr>
        <w:numId w:val="1"/>
      </w:numPr>
    </w:pPr>
  </w:style>
  <w:style w:type="numbering" w:customStyle="1" w:styleId="WWNum12">
    <w:name w:val="WWNum12"/>
    <w:basedOn w:val="NoList"/>
    <w:pPr>
      <w:numPr>
        <w:numId w:val="2"/>
      </w:numPr>
    </w:pPr>
  </w:style>
  <w:style w:type="numbering" w:customStyle="1" w:styleId="WWNum15">
    <w:name w:val="WWNum15"/>
    <w:basedOn w:val="NoList"/>
    <w:pPr>
      <w:numPr>
        <w:numId w:val="3"/>
      </w:numPr>
    </w:pPr>
  </w:style>
  <w:style w:type="character" w:styleId="CommentReference">
    <w:name w:val="annotation reference"/>
    <w:basedOn w:val="DefaultParagraphFont"/>
    <w:uiPriority w:val="99"/>
    <w:semiHidden/>
    <w:unhideWhenUsed/>
    <w:rsid w:val="00094D48"/>
    <w:rPr>
      <w:sz w:val="16"/>
      <w:szCs w:val="16"/>
    </w:rPr>
  </w:style>
  <w:style w:type="paragraph" w:styleId="CommentText">
    <w:name w:val="annotation text"/>
    <w:basedOn w:val="Normal"/>
    <w:link w:val="CommentTextChar"/>
    <w:uiPriority w:val="99"/>
    <w:semiHidden/>
    <w:unhideWhenUsed/>
    <w:rsid w:val="00094D48"/>
    <w:rPr>
      <w:rFonts w:cs="Mangal"/>
      <w:sz w:val="20"/>
      <w:szCs w:val="18"/>
    </w:rPr>
  </w:style>
  <w:style w:type="character" w:customStyle="1" w:styleId="CommentTextChar">
    <w:name w:val="Comment Text Char"/>
    <w:basedOn w:val="DefaultParagraphFont"/>
    <w:link w:val="CommentText"/>
    <w:uiPriority w:val="99"/>
    <w:semiHidden/>
    <w:rsid w:val="00094D48"/>
    <w:rPr>
      <w:rFonts w:cs="Mangal"/>
      <w:sz w:val="20"/>
      <w:szCs w:val="18"/>
    </w:rPr>
  </w:style>
  <w:style w:type="paragraph" w:styleId="CommentSubject">
    <w:name w:val="annotation subject"/>
    <w:basedOn w:val="CommentText"/>
    <w:next w:val="CommentText"/>
    <w:link w:val="CommentSubjectChar"/>
    <w:uiPriority w:val="99"/>
    <w:semiHidden/>
    <w:unhideWhenUsed/>
    <w:rsid w:val="00094D48"/>
    <w:rPr>
      <w:b/>
      <w:bCs/>
    </w:rPr>
  </w:style>
  <w:style w:type="character" w:customStyle="1" w:styleId="CommentSubjectChar">
    <w:name w:val="Comment Subject Char"/>
    <w:basedOn w:val="CommentTextChar"/>
    <w:link w:val="CommentSubject"/>
    <w:uiPriority w:val="99"/>
    <w:semiHidden/>
    <w:rsid w:val="00094D48"/>
    <w:rPr>
      <w:rFonts w:cs="Mangal"/>
      <w:b/>
      <w:bCs/>
      <w:sz w:val="20"/>
      <w:szCs w:val="18"/>
    </w:rPr>
  </w:style>
  <w:style w:type="paragraph" w:styleId="BalloonText">
    <w:name w:val="Balloon Text"/>
    <w:basedOn w:val="Normal"/>
    <w:link w:val="BalloonTextChar"/>
    <w:uiPriority w:val="99"/>
    <w:semiHidden/>
    <w:unhideWhenUsed/>
    <w:rsid w:val="00094D48"/>
    <w:rPr>
      <w:rFonts w:ascii="Segoe UI" w:hAnsi="Segoe UI" w:cs="Mangal"/>
      <w:sz w:val="18"/>
      <w:szCs w:val="16"/>
    </w:rPr>
  </w:style>
  <w:style w:type="character" w:customStyle="1" w:styleId="BalloonTextChar">
    <w:name w:val="Balloon Text Char"/>
    <w:basedOn w:val="DefaultParagraphFont"/>
    <w:link w:val="BalloonText"/>
    <w:uiPriority w:val="99"/>
    <w:semiHidden/>
    <w:rsid w:val="00094D48"/>
    <w:rPr>
      <w:rFonts w:ascii="Segoe UI" w:hAnsi="Segoe UI" w:cs="Mangal"/>
      <w:sz w:val="18"/>
      <w:szCs w:val="16"/>
    </w:rPr>
  </w:style>
  <w:style w:type="character" w:styleId="Hyperlink">
    <w:name w:val="Hyperlink"/>
    <w:basedOn w:val="DefaultParagraphFont"/>
    <w:uiPriority w:val="99"/>
    <w:unhideWhenUsed/>
    <w:rsid w:val="00094D48"/>
    <w:rPr>
      <w:color w:val="0563C1" w:themeColor="hyperlink"/>
      <w:u w:val="single"/>
    </w:rPr>
  </w:style>
  <w:style w:type="character" w:customStyle="1" w:styleId="UnresolvedMention">
    <w:name w:val="Unresolved Mention"/>
    <w:basedOn w:val="DefaultParagraphFont"/>
    <w:uiPriority w:val="99"/>
    <w:semiHidden/>
    <w:unhideWhenUsed/>
    <w:rsid w:val="00094D48"/>
    <w:rPr>
      <w:color w:val="605E5C"/>
      <w:shd w:val="clear" w:color="auto" w:fill="E1DFDD"/>
    </w:rPr>
  </w:style>
  <w:style w:type="paragraph" w:styleId="FootnoteText">
    <w:name w:val="footnote text"/>
    <w:basedOn w:val="Normal"/>
    <w:link w:val="FootnoteTextChar"/>
    <w:uiPriority w:val="99"/>
    <w:semiHidden/>
    <w:unhideWhenUsed/>
    <w:rsid w:val="00105DFC"/>
    <w:rPr>
      <w:rFonts w:cs="Mangal"/>
      <w:sz w:val="20"/>
      <w:szCs w:val="18"/>
    </w:rPr>
  </w:style>
  <w:style w:type="character" w:customStyle="1" w:styleId="FootnoteTextChar">
    <w:name w:val="Footnote Text Char"/>
    <w:basedOn w:val="DefaultParagraphFont"/>
    <w:link w:val="FootnoteText"/>
    <w:uiPriority w:val="99"/>
    <w:semiHidden/>
    <w:rsid w:val="00105DFC"/>
    <w:rPr>
      <w:rFonts w:cs="Mangal"/>
      <w:sz w:val="20"/>
      <w:szCs w:val="18"/>
    </w:rPr>
  </w:style>
  <w:style w:type="character" w:styleId="FootnoteReference">
    <w:name w:val="footnote reference"/>
    <w:basedOn w:val="DefaultParagraphFont"/>
    <w:uiPriority w:val="99"/>
    <w:semiHidden/>
    <w:unhideWhenUsed/>
    <w:rsid w:val="00105D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erif CJK SC" w:hAnsi="Liberation Serif" w:cs="Lohit Devanagari"/>
        <w:kern w:val="3"/>
        <w:sz w:val="24"/>
        <w:szCs w:val="24"/>
        <w:lang w:val="en-GB"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Regular"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paragraph" w:customStyle="1" w:styleId="pub-c-titlecontext">
    <w:name w:val="pub-c-title__context"/>
    <w:basedOn w:val="Standard"/>
    <w:pPr>
      <w:spacing w:before="280" w:after="280"/>
    </w:pPr>
    <w:rPr>
      <w:rFonts w:ascii="Times New Roman" w:eastAsia="Times New Roman" w:hAnsi="Times New Roman" w:cs="Times New Roman"/>
      <w:lang w:eastAsia="en-GB"/>
    </w:rPr>
  </w:style>
  <w:style w:type="paragraph" w:styleId="ListParagraph">
    <w:name w:val="List Paragraph"/>
    <w:basedOn w:val="Standard"/>
    <w:pPr>
      <w:spacing w:after="160"/>
      <w:ind w:left="720"/>
    </w:pPr>
  </w:style>
  <w:style w:type="character" w:customStyle="1" w:styleId="Internetlink">
    <w:name w:val="Internet link"/>
    <w:rPr>
      <w:color w:val="000080"/>
      <w:u w:val="single"/>
    </w:rPr>
  </w:style>
  <w:style w:type="character" w:customStyle="1" w:styleId="ListLabel57">
    <w:name w:val="ListLabel 57"/>
    <w:rPr>
      <w:rFonts w:ascii="Liberation Serif" w:eastAsia="Arial" w:hAnsi="Liberation Serif" w:cs="Liberation Serif"/>
      <w:color w:val="000000"/>
      <w:kern w:val="3"/>
      <w:sz w:val="24"/>
      <w:u w:val="single"/>
      <w:lang w:val="en-GB" w:eastAsia="en-GB"/>
    </w:rPr>
  </w:style>
  <w:style w:type="character" w:customStyle="1" w:styleId="ListLabel58">
    <w:name w:val="ListLabel 58"/>
    <w:rPr>
      <w:rFonts w:ascii="Liberation Serif" w:eastAsia="Arial" w:hAnsi="Liberation Serif" w:cs="Liberation Serif"/>
      <w:color w:val="000080"/>
      <w:kern w:val="3"/>
      <w:sz w:val="24"/>
      <w:u w:val="single"/>
      <w:lang w:eastAsia="en-GB"/>
    </w:rPr>
  </w:style>
  <w:style w:type="character" w:customStyle="1" w:styleId="StrongEmphasis">
    <w:name w:val="Strong Emphasis"/>
    <w:rPr>
      <w:b/>
    </w:rPr>
  </w:style>
  <w:style w:type="character" w:customStyle="1" w:styleId="ListLabel59">
    <w:name w:val="ListLabel 59"/>
    <w:rPr>
      <w:rFonts w:ascii="Liberation Serif" w:eastAsia="Arial" w:hAnsi="Liberation Serif" w:cs="Liberation Serif"/>
      <w:b w:val="0"/>
      <w:color w:val="000080"/>
      <w:kern w:val="3"/>
      <w:sz w:val="24"/>
      <w:u w:val="single"/>
    </w:rPr>
  </w:style>
  <w:style w:type="character" w:customStyle="1" w:styleId="ListLabel60">
    <w:name w:val="ListLabel 60"/>
    <w:rPr>
      <w:rFonts w:ascii="Liberation Serif" w:eastAsia="Arial" w:hAnsi="Liberation Serif" w:cs="Liberation Serif"/>
      <w:b w:val="0"/>
      <w:color w:val="000080"/>
      <w:kern w:val="3"/>
      <w:sz w:val="24"/>
      <w:u w:val="single"/>
      <w:lang w:eastAsia="en-GB"/>
    </w:rPr>
  </w:style>
  <w:style w:type="character" w:customStyle="1" w:styleId="ListLabel61">
    <w:name w:val="ListLabel 61"/>
    <w:rPr>
      <w:rFonts w:ascii="Liberation Serif" w:eastAsia="Arial" w:hAnsi="Liberation Serif" w:cs="Liberation Serif"/>
      <w:color w:val="000000"/>
      <w:kern w:val="3"/>
      <w:sz w:val="24"/>
      <w:u w:val="single"/>
      <w:lang w:val="en-GB" w:eastAsia="en-GB"/>
    </w:rPr>
  </w:style>
  <w:style w:type="character" w:customStyle="1" w:styleId="ListLabel64">
    <w:name w:val="ListLabel 64"/>
    <w:rPr>
      <w:rFonts w:ascii="Calibri Light" w:eastAsia="DengXian" w:hAnsi="Calibri Light" w:cs="Calibri Light"/>
      <w:sz w:val="24"/>
      <w:szCs w:val="24"/>
    </w:rPr>
  </w:style>
  <w:style w:type="character" w:customStyle="1" w:styleId="FootnoteSymbol">
    <w:name w:val="Footnote Symbol"/>
    <w:basedOn w:val="DefaultParagraphFont"/>
    <w:rPr>
      <w:position w:val="0"/>
      <w:vertAlign w:val="superscript"/>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Footnoteanchor">
    <w:name w:val="Footnote anchor"/>
    <w:rPr>
      <w:position w:val="0"/>
      <w:vertAlign w:val="superscript"/>
    </w:rPr>
  </w:style>
  <w:style w:type="numbering" w:customStyle="1" w:styleId="WWNum9">
    <w:name w:val="WWNum9"/>
    <w:basedOn w:val="NoList"/>
    <w:pPr>
      <w:numPr>
        <w:numId w:val="1"/>
      </w:numPr>
    </w:pPr>
  </w:style>
  <w:style w:type="numbering" w:customStyle="1" w:styleId="WWNum12">
    <w:name w:val="WWNum12"/>
    <w:basedOn w:val="NoList"/>
    <w:pPr>
      <w:numPr>
        <w:numId w:val="2"/>
      </w:numPr>
    </w:pPr>
  </w:style>
  <w:style w:type="numbering" w:customStyle="1" w:styleId="WWNum15">
    <w:name w:val="WWNum15"/>
    <w:basedOn w:val="NoList"/>
    <w:pPr>
      <w:numPr>
        <w:numId w:val="3"/>
      </w:numPr>
    </w:pPr>
  </w:style>
  <w:style w:type="character" w:styleId="CommentReference">
    <w:name w:val="annotation reference"/>
    <w:basedOn w:val="DefaultParagraphFont"/>
    <w:uiPriority w:val="99"/>
    <w:semiHidden/>
    <w:unhideWhenUsed/>
    <w:rsid w:val="00094D48"/>
    <w:rPr>
      <w:sz w:val="16"/>
      <w:szCs w:val="16"/>
    </w:rPr>
  </w:style>
  <w:style w:type="paragraph" w:styleId="CommentText">
    <w:name w:val="annotation text"/>
    <w:basedOn w:val="Normal"/>
    <w:link w:val="CommentTextChar"/>
    <w:uiPriority w:val="99"/>
    <w:semiHidden/>
    <w:unhideWhenUsed/>
    <w:rsid w:val="00094D48"/>
    <w:rPr>
      <w:rFonts w:cs="Mangal"/>
      <w:sz w:val="20"/>
      <w:szCs w:val="18"/>
    </w:rPr>
  </w:style>
  <w:style w:type="character" w:customStyle="1" w:styleId="CommentTextChar">
    <w:name w:val="Comment Text Char"/>
    <w:basedOn w:val="DefaultParagraphFont"/>
    <w:link w:val="CommentText"/>
    <w:uiPriority w:val="99"/>
    <w:semiHidden/>
    <w:rsid w:val="00094D48"/>
    <w:rPr>
      <w:rFonts w:cs="Mangal"/>
      <w:sz w:val="20"/>
      <w:szCs w:val="18"/>
    </w:rPr>
  </w:style>
  <w:style w:type="paragraph" w:styleId="CommentSubject">
    <w:name w:val="annotation subject"/>
    <w:basedOn w:val="CommentText"/>
    <w:next w:val="CommentText"/>
    <w:link w:val="CommentSubjectChar"/>
    <w:uiPriority w:val="99"/>
    <w:semiHidden/>
    <w:unhideWhenUsed/>
    <w:rsid w:val="00094D48"/>
    <w:rPr>
      <w:b/>
      <w:bCs/>
    </w:rPr>
  </w:style>
  <w:style w:type="character" w:customStyle="1" w:styleId="CommentSubjectChar">
    <w:name w:val="Comment Subject Char"/>
    <w:basedOn w:val="CommentTextChar"/>
    <w:link w:val="CommentSubject"/>
    <w:uiPriority w:val="99"/>
    <w:semiHidden/>
    <w:rsid w:val="00094D48"/>
    <w:rPr>
      <w:rFonts w:cs="Mangal"/>
      <w:b/>
      <w:bCs/>
      <w:sz w:val="20"/>
      <w:szCs w:val="18"/>
    </w:rPr>
  </w:style>
  <w:style w:type="paragraph" w:styleId="BalloonText">
    <w:name w:val="Balloon Text"/>
    <w:basedOn w:val="Normal"/>
    <w:link w:val="BalloonTextChar"/>
    <w:uiPriority w:val="99"/>
    <w:semiHidden/>
    <w:unhideWhenUsed/>
    <w:rsid w:val="00094D48"/>
    <w:rPr>
      <w:rFonts w:ascii="Segoe UI" w:hAnsi="Segoe UI" w:cs="Mangal"/>
      <w:sz w:val="18"/>
      <w:szCs w:val="16"/>
    </w:rPr>
  </w:style>
  <w:style w:type="character" w:customStyle="1" w:styleId="BalloonTextChar">
    <w:name w:val="Balloon Text Char"/>
    <w:basedOn w:val="DefaultParagraphFont"/>
    <w:link w:val="BalloonText"/>
    <w:uiPriority w:val="99"/>
    <w:semiHidden/>
    <w:rsid w:val="00094D48"/>
    <w:rPr>
      <w:rFonts w:ascii="Segoe UI" w:hAnsi="Segoe UI" w:cs="Mangal"/>
      <w:sz w:val="18"/>
      <w:szCs w:val="16"/>
    </w:rPr>
  </w:style>
  <w:style w:type="character" w:styleId="Hyperlink">
    <w:name w:val="Hyperlink"/>
    <w:basedOn w:val="DefaultParagraphFont"/>
    <w:uiPriority w:val="99"/>
    <w:unhideWhenUsed/>
    <w:rsid w:val="00094D48"/>
    <w:rPr>
      <w:color w:val="0563C1" w:themeColor="hyperlink"/>
      <w:u w:val="single"/>
    </w:rPr>
  </w:style>
  <w:style w:type="character" w:customStyle="1" w:styleId="UnresolvedMention">
    <w:name w:val="Unresolved Mention"/>
    <w:basedOn w:val="DefaultParagraphFont"/>
    <w:uiPriority w:val="99"/>
    <w:semiHidden/>
    <w:unhideWhenUsed/>
    <w:rsid w:val="00094D48"/>
    <w:rPr>
      <w:color w:val="605E5C"/>
      <w:shd w:val="clear" w:color="auto" w:fill="E1DFDD"/>
    </w:rPr>
  </w:style>
  <w:style w:type="paragraph" w:styleId="FootnoteText">
    <w:name w:val="footnote text"/>
    <w:basedOn w:val="Normal"/>
    <w:link w:val="FootnoteTextChar"/>
    <w:uiPriority w:val="99"/>
    <w:semiHidden/>
    <w:unhideWhenUsed/>
    <w:rsid w:val="00105DFC"/>
    <w:rPr>
      <w:rFonts w:cs="Mangal"/>
      <w:sz w:val="20"/>
      <w:szCs w:val="18"/>
    </w:rPr>
  </w:style>
  <w:style w:type="character" w:customStyle="1" w:styleId="FootnoteTextChar">
    <w:name w:val="Footnote Text Char"/>
    <w:basedOn w:val="DefaultParagraphFont"/>
    <w:link w:val="FootnoteText"/>
    <w:uiPriority w:val="99"/>
    <w:semiHidden/>
    <w:rsid w:val="00105DFC"/>
    <w:rPr>
      <w:rFonts w:cs="Mangal"/>
      <w:sz w:val="20"/>
      <w:szCs w:val="18"/>
    </w:rPr>
  </w:style>
  <w:style w:type="character" w:styleId="FootnoteReference">
    <w:name w:val="footnote reference"/>
    <w:basedOn w:val="DefaultParagraphFont"/>
    <w:uiPriority w:val="99"/>
    <w:semiHidden/>
    <w:unhideWhenUsed/>
    <w:rsid w:val="00105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heriplnetw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riplnetwork" TargetMode="External"/><Relationship Id="rId5" Type="http://schemas.openxmlformats.org/officeDocument/2006/relationships/settings" Target="settings.xml"/><Relationship Id="rId10" Type="http://schemas.openxmlformats.org/officeDocument/2006/relationships/hyperlink" Target="http://www.ripl.uk/policy/" TargetMode="External"/><Relationship Id="rId4" Type="http://schemas.microsoft.com/office/2007/relationships/stylesWithEffects" Target="stylesWithEffects.xml"/><Relationship Id="rId9" Type="http://schemas.openxmlformats.org/officeDocument/2006/relationships/hyperlink" Target="http://www.ripl.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9A49-6900-4C12-989D-8C6E9335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Myles, Florence</cp:lastModifiedBy>
  <cp:revision>4</cp:revision>
  <dcterms:created xsi:type="dcterms:W3CDTF">2019-06-06T13:26:00Z</dcterms:created>
  <dcterms:modified xsi:type="dcterms:W3CDTF">2019-06-10T09:02:00Z</dcterms:modified>
</cp:coreProperties>
</file>